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0"/>
          <w:szCs w:val="20"/>
        </w:rPr>
      </w:pPr>
      <w:r w:rsidDel="00000000" w:rsidR="00000000" w:rsidRPr="00000000">
        <w:rPr>
          <w:b w:val="1"/>
          <w:sz w:val="20"/>
          <w:szCs w:val="20"/>
          <w:rtl w:val="0"/>
        </w:rPr>
        <w:t xml:space="preserve">République Du Sénégal</w:t>
      </w:r>
    </w:p>
    <w:p w:rsidR="00000000" w:rsidDel="00000000" w:rsidP="00000000" w:rsidRDefault="00000000" w:rsidRPr="00000000" w14:paraId="00000002">
      <w:pPr>
        <w:jc w:val="center"/>
        <w:rPr>
          <w:b w:val="1"/>
          <w:sz w:val="20"/>
          <w:szCs w:val="20"/>
        </w:rPr>
      </w:pPr>
      <w:r w:rsidDel="00000000" w:rsidR="00000000" w:rsidRPr="00000000">
        <w:rPr>
          <w:b w:val="1"/>
          <w:sz w:val="20"/>
          <w:szCs w:val="20"/>
          <w:rtl w:val="0"/>
        </w:rPr>
        <w:t xml:space="preserve">Un Peuple - Un But - Une Foi</w:t>
      </w:r>
    </w:p>
    <w:p w:rsidR="00000000" w:rsidDel="00000000" w:rsidP="00000000" w:rsidRDefault="00000000" w:rsidRPr="00000000" w14:paraId="00000003">
      <w:pPr>
        <w:jc w:val="center"/>
        <w:rPr>
          <w:b w:val="1"/>
        </w:rPr>
      </w:pPr>
      <w:r w:rsidDel="00000000" w:rsidR="00000000" w:rsidRPr="00000000">
        <w:rPr>
          <w:b w:val="1"/>
          <w:rtl w:val="0"/>
        </w:rPr>
        <w:t xml:space="preserve">Ministère de l'Education nationale</w:t>
      </w:r>
    </w:p>
    <w:p w:rsidR="00000000" w:rsidDel="00000000" w:rsidP="00000000" w:rsidRDefault="00000000" w:rsidRPr="00000000" w14:paraId="00000004">
      <w:pPr>
        <w:jc w:val="center"/>
        <w:rPr>
          <w:b w:val="1"/>
          <w:sz w:val="24"/>
          <w:szCs w:val="24"/>
        </w:rPr>
      </w:pPr>
      <w:r w:rsidDel="00000000" w:rsidR="00000000" w:rsidRPr="00000000">
        <w:rPr>
          <w:b w:val="1"/>
          <w:sz w:val="24"/>
          <w:szCs w:val="24"/>
          <w:rtl w:val="0"/>
        </w:rPr>
        <w:t xml:space="preserve">PROJET D'AMELIORATION DES PERFORMANCES DU SYSTÈME ÉDUCATIF (PAPSE)</w:t>
      </w:r>
    </w:p>
    <w:p w:rsidR="00000000" w:rsidDel="00000000" w:rsidP="00000000" w:rsidRDefault="00000000" w:rsidRPr="00000000" w14:paraId="00000005">
      <w:pPr>
        <w:jc w:val="center"/>
        <w:rPr/>
      </w:pPr>
      <w:r w:rsidDel="00000000" w:rsidR="00000000" w:rsidRPr="00000000">
        <w:rPr>
          <w:b w:val="1"/>
          <w:rtl w:val="0"/>
        </w:rPr>
        <w:t xml:space="preserve">Financement:                      LA BANQUE MONDIALE   </w:t>
      </w:r>
      <w:r w:rsidDel="00000000" w:rsidR="00000000" w:rsidRPr="00000000">
        <w:rPr>
          <w:rtl w:val="0"/>
        </w:rPr>
        <w:t xml:space="preserve">IRD - IDA</w:t>
      </w:r>
    </w:p>
    <w:p w:rsidR="00000000" w:rsidDel="00000000" w:rsidP="00000000" w:rsidRDefault="00000000" w:rsidRPr="00000000" w14:paraId="00000006">
      <w:pPr>
        <w:jc w:val="center"/>
        <w:rPr>
          <w:b w:val="1"/>
        </w:rPr>
      </w:pPr>
      <w:r w:rsidDel="00000000" w:rsidR="00000000" w:rsidRPr="00000000">
        <w:rPr>
          <w:b w:val="1"/>
          <w:rtl w:val="0"/>
        </w:rPr>
        <w:t xml:space="preserve">Crédit IDA 70440-SN ; P169916</w:t>
      </w:r>
    </w:p>
    <w:p w:rsidR="00000000" w:rsidDel="00000000" w:rsidP="00000000" w:rsidRDefault="00000000" w:rsidRPr="00000000" w14:paraId="00000007">
      <w:pPr>
        <w:spacing w:before="200" w:lineRule="auto"/>
        <w:jc w:val="center"/>
        <w:rPr>
          <w:b w:val="1"/>
          <w:shd w:fill="b7b7b7" w:val="clear"/>
        </w:rPr>
      </w:pPr>
      <w:r w:rsidDel="00000000" w:rsidR="00000000" w:rsidRPr="00000000">
        <w:rPr>
          <w:b w:val="1"/>
          <w:shd w:fill="b7b7b7" w:val="clear"/>
          <w:rtl w:val="0"/>
        </w:rPr>
        <w:t xml:space="preserve">Avis d'Appel d'Offres (AAO) N° SN-MEN-486302-GO-RFB/F_PAPSE_ 200</w:t>
      </w:r>
    </w:p>
    <w:p w:rsidR="00000000" w:rsidDel="00000000" w:rsidP="00000000" w:rsidRDefault="00000000" w:rsidRPr="00000000" w14:paraId="00000008">
      <w:pPr>
        <w:jc w:val="center"/>
        <w:rPr>
          <w:b w:val="1"/>
          <w:shd w:fill="b7b7b7" w:val="clear"/>
        </w:rPr>
      </w:pPr>
      <w:r w:rsidDel="00000000" w:rsidR="00000000" w:rsidRPr="00000000">
        <w:rPr>
          <w:b w:val="1"/>
          <w:shd w:fill="b7b7b7" w:val="clear"/>
          <w:rtl w:val="0"/>
        </w:rPr>
        <w:t xml:space="preserve">Impression et livraison de manuels, de guides pédagogiques et de planches alphabétiques en Langue et Communication (LC) pour les élèves et enseignants du niveau CP des académies de Sédhiou, Thiès et Ziguinchor</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before="200" w:lineRule="auto"/>
        <w:jc w:val="both"/>
        <w:rPr/>
      </w:pPr>
      <w:r w:rsidDel="00000000" w:rsidR="00000000" w:rsidRPr="00000000">
        <w:rPr>
          <w:rtl w:val="0"/>
        </w:rPr>
        <w:t xml:space="preserve">Cet Avis d'appel d'offres fait suite à l'Avis Général de Passation des Marchés publié le 27 janvier 2023 dans le «UNDB » et dans le quotidien « Le Soleil » n°15 926 du mardi 04 juillet 2023.</w:t>
      </w:r>
    </w:p>
    <w:p w:rsidR="00000000" w:rsidDel="00000000" w:rsidP="00000000" w:rsidRDefault="00000000" w:rsidRPr="00000000" w14:paraId="0000000B">
      <w:pPr>
        <w:spacing w:before="200" w:lineRule="auto"/>
        <w:jc w:val="both"/>
        <w:rPr/>
      </w:pPr>
      <w:r w:rsidDel="00000000" w:rsidR="00000000" w:rsidRPr="00000000">
        <w:rPr>
          <w:rtl w:val="0"/>
        </w:rPr>
        <w:t xml:space="preserve">1. Le gouvernement du Sénégal a reçu un financement de la Banque mondiale pour financer le Projet d'Amélioration des Performances du Système Educatif (PAPSE) et à l'intention d'utiliser une partie de ce financement pour effectuer des paiements au titre du Marché « </w:t>
      </w:r>
      <w:r w:rsidDel="00000000" w:rsidR="00000000" w:rsidRPr="00000000">
        <w:rPr>
          <w:b w:val="1"/>
          <w:rtl w:val="0"/>
        </w:rPr>
        <w:t xml:space="preserve">Impression et livraison de guides d'enseignant, d'outils d'élève, et de planches d'alphabet</w:t>
      </w:r>
      <w:r w:rsidDel="00000000" w:rsidR="00000000" w:rsidRPr="00000000">
        <w:rPr>
          <w:rtl w:val="0"/>
        </w:rPr>
        <w:t xml:space="preserve"> ».</w:t>
      </w:r>
    </w:p>
    <w:p w:rsidR="00000000" w:rsidDel="00000000" w:rsidP="00000000" w:rsidRDefault="00000000" w:rsidRPr="00000000" w14:paraId="0000000C">
      <w:pPr>
        <w:spacing w:before="200" w:lineRule="auto"/>
        <w:jc w:val="both"/>
        <w:rPr/>
      </w:pPr>
      <w:r w:rsidDel="00000000" w:rsidR="00000000" w:rsidRPr="00000000">
        <w:rPr>
          <w:rtl w:val="0"/>
        </w:rPr>
        <w:t xml:space="preserve">2. Le Ministère de l'Education nationale (MEN) dans le cadre du Projet d'Amélioration des Performances du Système Educatif (PAPSE) sollicite des offres cachetées de la part de Soumissionnaires éligibles et répondant aux qualifications requises pour l'impression et la livraison des outils en un (1) lot unique et indivisible de</w:t>
      </w:r>
    </w:p>
    <w:p w:rsidR="00000000" w:rsidDel="00000000" w:rsidP="00000000" w:rsidRDefault="00000000" w:rsidRPr="00000000" w14:paraId="0000000D">
      <w:pPr>
        <w:spacing w:before="0" w:lineRule="auto"/>
        <w:jc w:val="both"/>
        <w:rPr>
          <w:b w:val="1"/>
        </w:rPr>
      </w:pPr>
      <w:r w:rsidDel="00000000" w:rsidR="00000000" w:rsidRPr="00000000">
        <w:rPr>
          <w:b w:val="1"/>
          <w:rtl w:val="0"/>
        </w:rPr>
        <w:t xml:space="preserve">- 117 091 outils de l'élève Li Tome 1;</w:t>
      </w:r>
    </w:p>
    <w:p w:rsidR="00000000" w:rsidDel="00000000" w:rsidP="00000000" w:rsidRDefault="00000000" w:rsidRPr="00000000" w14:paraId="0000000E">
      <w:pPr>
        <w:spacing w:before="0" w:lineRule="auto"/>
        <w:jc w:val="both"/>
        <w:rPr>
          <w:b w:val="1"/>
        </w:rPr>
      </w:pPr>
      <w:r w:rsidDel="00000000" w:rsidR="00000000" w:rsidRPr="00000000">
        <w:rPr>
          <w:b w:val="1"/>
          <w:rtl w:val="0"/>
        </w:rPr>
        <w:t xml:space="preserve">- 117 091 outils de l'élève Li Tome 2;</w:t>
      </w:r>
    </w:p>
    <w:p w:rsidR="00000000" w:rsidDel="00000000" w:rsidP="00000000" w:rsidRDefault="00000000" w:rsidRPr="00000000" w14:paraId="0000000F">
      <w:pPr>
        <w:spacing w:before="0" w:lineRule="auto"/>
        <w:jc w:val="both"/>
        <w:rPr>
          <w:b w:val="1"/>
        </w:rPr>
      </w:pPr>
      <w:r w:rsidDel="00000000" w:rsidR="00000000" w:rsidRPr="00000000">
        <w:rPr>
          <w:b w:val="1"/>
          <w:rtl w:val="0"/>
        </w:rPr>
        <w:t xml:space="preserve">- 117 091 outils de l'élève L2 Tome 1;</w:t>
      </w:r>
    </w:p>
    <w:p w:rsidR="00000000" w:rsidDel="00000000" w:rsidP="00000000" w:rsidRDefault="00000000" w:rsidRPr="00000000" w14:paraId="00000010">
      <w:pPr>
        <w:spacing w:before="0" w:lineRule="auto"/>
        <w:jc w:val="both"/>
        <w:rPr>
          <w:b w:val="1"/>
        </w:rPr>
      </w:pPr>
      <w:r w:rsidDel="00000000" w:rsidR="00000000" w:rsidRPr="00000000">
        <w:rPr>
          <w:b w:val="1"/>
          <w:rtl w:val="0"/>
        </w:rPr>
        <w:t xml:space="preserve">- 117 091 outils de l'élève L2 Tome 2;</w:t>
      </w:r>
    </w:p>
    <w:p w:rsidR="00000000" w:rsidDel="00000000" w:rsidP="00000000" w:rsidRDefault="00000000" w:rsidRPr="00000000" w14:paraId="00000011">
      <w:pPr>
        <w:spacing w:before="0" w:lineRule="auto"/>
        <w:jc w:val="both"/>
        <w:rPr>
          <w:b w:val="1"/>
        </w:rPr>
      </w:pPr>
      <w:r w:rsidDel="00000000" w:rsidR="00000000" w:rsidRPr="00000000">
        <w:rPr>
          <w:b w:val="1"/>
          <w:rtl w:val="0"/>
        </w:rPr>
        <w:t xml:space="preserve">- 4 875 guides de l'enseignant Tome 1;</w:t>
      </w:r>
    </w:p>
    <w:p w:rsidR="00000000" w:rsidDel="00000000" w:rsidP="00000000" w:rsidRDefault="00000000" w:rsidRPr="00000000" w14:paraId="00000012">
      <w:pPr>
        <w:spacing w:before="0" w:lineRule="auto"/>
        <w:jc w:val="both"/>
        <w:rPr>
          <w:b w:val="1"/>
        </w:rPr>
      </w:pPr>
      <w:r w:rsidDel="00000000" w:rsidR="00000000" w:rsidRPr="00000000">
        <w:rPr>
          <w:b w:val="1"/>
          <w:rtl w:val="0"/>
        </w:rPr>
        <w:t xml:space="preserve">- 4 875 guides de l'enseignant Tome 2 et ;</w:t>
      </w:r>
    </w:p>
    <w:p w:rsidR="00000000" w:rsidDel="00000000" w:rsidP="00000000" w:rsidRDefault="00000000" w:rsidRPr="00000000" w14:paraId="00000013">
      <w:pPr>
        <w:spacing w:before="200" w:lineRule="auto"/>
        <w:jc w:val="both"/>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8.625"/>
        <w:gridCol w:w="1128.625"/>
        <w:gridCol w:w="1128.625"/>
        <w:gridCol w:w="1128.625"/>
        <w:gridCol w:w="1128.625"/>
        <w:gridCol w:w="1128.625"/>
        <w:gridCol w:w="1128.625"/>
        <w:gridCol w:w="1128.625"/>
        <w:tblGridChange w:id="0">
          <w:tblGrid>
            <w:gridCol w:w="1128.625"/>
            <w:gridCol w:w="1128.625"/>
            <w:gridCol w:w="1128.625"/>
            <w:gridCol w:w="1128.625"/>
            <w:gridCol w:w="1128.625"/>
            <w:gridCol w:w="1128.625"/>
            <w:gridCol w:w="1128.625"/>
            <w:gridCol w:w="1128.6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before="0" w:lineRule="auto"/>
              <w:jc w:val="both"/>
              <w:rPr/>
            </w:pPr>
            <w:r w:rsidDel="00000000" w:rsidR="00000000" w:rsidRPr="00000000">
              <w:rPr>
                <w:rtl w:val="0"/>
              </w:rPr>
              <w:t xml:space="preserve">Langue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before="0" w:lineRule="auto"/>
              <w:jc w:val="both"/>
              <w:rPr/>
            </w:pPr>
            <w:r w:rsidDel="00000000" w:rsidR="00000000" w:rsidRPr="00000000">
              <w:rPr>
                <w:rtl w:val="0"/>
              </w:rPr>
              <w:t xml:space="preserve">Guide de l'enseignant</w:t>
            </w:r>
          </w:p>
          <w:p w:rsidR="00000000" w:rsidDel="00000000" w:rsidP="00000000" w:rsidRDefault="00000000" w:rsidRPr="00000000" w14:paraId="00000016">
            <w:pPr>
              <w:spacing w:before="0" w:lineRule="auto"/>
              <w:jc w:val="both"/>
              <w:rPr/>
            </w:pPr>
            <w:r w:rsidDel="00000000" w:rsidR="00000000" w:rsidRPr="00000000">
              <w:rPr>
                <w:rtl w:val="0"/>
              </w:rPr>
              <w:t xml:space="preserve">Tome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jc w:val="both"/>
              <w:rPr/>
            </w:pPr>
            <w:r w:rsidDel="00000000" w:rsidR="00000000" w:rsidRPr="00000000">
              <w:rPr>
                <w:rtl w:val="0"/>
              </w:rPr>
              <w:t xml:space="preserve">Guide de l'enseignant</w:t>
            </w:r>
          </w:p>
          <w:p w:rsidR="00000000" w:rsidDel="00000000" w:rsidP="00000000" w:rsidRDefault="00000000" w:rsidRPr="00000000" w14:paraId="00000018">
            <w:pPr>
              <w:jc w:val="both"/>
              <w:rPr/>
            </w:pPr>
            <w:r w:rsidDel="00000000" w:rsidR="00000000" w:rsidRPr="00000000">
              <w:rPr>
                <w:rtl w:val="0"/>
              </w:rPr>
              <w:t xml:space="preserve">Tome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jc w:val="both"/>
              <w:rPr/>
            </w:pPr>
            <w:r w:rsidDel="00000000" w:rsidR="00000000" w:rsidRPr="00000000">
              <w:rPr>
                <w:rtl w:val="0"/>
              </w:rPr>
              <w:t xml:space="preserve">Outil de l'élève</w:t>
            </w:r>
          </w:p>
          <w:p w:rsidR="00000000" w:rsidDel="00000000" w:rsidP="00000000" w:rsidRDefault="00000000" w:rsidRPr="00000000" w14:paraId="0000001A">
            <w:pPr>
              <w:jc w:val="both"/>
              <w:rPr/>
            </w:pPr>
            <w:r w:rsidDel="00000000" w:rsidR="00000000" w:rsidRPr="00000000">
              <w:rPr>
                <w:rtl w:val="0"/>
              </w:rPr>
              <w:t xml:space="preserve">Tome 1</w:t>
            </w:r>
          </w:p>
          <w:p w:rsidR="00000000" w:rsidDel="00000000" w:rsidP="00000000" w:rsidRDefault="00000000" w:rsidRPr="00000000" w14:paraId="0000001B">
            <w:pPr>
              <w:jc w:val="both"/>
              <w:rPr/>
            </w:pPr>
            <w:r w:rsidDel="00000000" w:rsidR="00000000" w:rsidRPr="00000000">
              <w:rPr>
                <w:rtl w:val="0"/>
              </w:rPr>
              <w:t xml:space="preserve">(L1)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jc w:val="both"/>
              <w:rPr/>
            </w:pPr>
            <w:r w:rsidDel="00000000" w:rsidR="00000000" w:rsidRPr="00000000">
              <w:rPr>
                <w:rtl w:val="0"/>
              </w:rPr>
              <w:t xml:space="preserve">Outil de l'élève</w:t>
            </w:r>
          </w:p>
          <w:p w:rsidR="00000000" w:rsidDel="00000000" w:rsidP="00000000" w:rsidRDefault="00000000" w:rsidRPr="00000000" w14:paraId="0000001D">
            <w:pPr>
              <w:jc w:val="both"/>
              <w:rPr/>
            </w:pPr>
            <w:r w:rsidDel="00000000" w:rsidR="00000000" w:rsidRPr="00000000">
              <w:rPr>
                <w:rtl w:val="0"/>
              </w:rPr>
              <w:t xml:space="preserve">Tome 1</w:t>
            </w:r>
          </w:p>
          <w:p w:rsidR="00000000" w:rsidDel="00000000" w:rsidP="00000000" w:rsidRDefault="00000000" w:rsidRPr="00000000" w14:paraId="0000001E">
            <w:pPr>
              <w:jc w:val="both"/>
              <w:rPr/>
            </w:pPr>
            <w:r w:rsidDel="00000000" w:rsidR="00000000" w:rsidRPr="00000000">
              <w:rPr>
                <w:rtl w:val="0"/>
              </w:rPr>
              <w:t xml:space="preserve">(L2)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jc w:val="both"/>
              <w:rPr/>
            </w:pPr>
            <w:r w:rsidDel="00000000" w:rsidR="00000000" w:rsidRPr="00000000">
              <w:rPr>
                <w:rtl w:val="0"/>
              </w:rPr>
              <w:t xml:space="preserve">Outil de l'élève</w:t>
            </w:r>
          </w:p>
          <w:p w:rsidR="00000000" w:rsidDel="00000000" w:rsidP="00000000" w:rsidRDefault="00000000" w:rsidRPr="00000000" w14:paraId="00000020">
            <w:pPr>
              <w:jc w:val="both"/>
              <w:rPr/>
            </w:pPr>
            <w:r w:rsidDel="00000000" w:rsidR="00000000" w:rsidRPr="00000000">
              <w:rPr>
                <w:rtl w:val="0"/>
              </w:rPr>
              <w:t xml:space="preserve">Tome 2</w:t>
            </w:r>
          </w:p>
          <w:p w:rsidR="00000000" w:rsidDel="00000000" w:rsidP="00000000" w:rsidRDefault="00000000" w:rsidRPr="00000000" w14:paraId="00000021">
            <w:pPr>
              <w:jc w:val="both"/>
              <w:rPr/>
            </w:pPr>
            <w:r w:rsidDel="00000000" w:rsidR="00000000" w:rsidRPr="00000000">
              <w:rPr>
                <w:rtl w:val="0"/>
              </w:rPr>
              <w:t xml:space="preserve">(L1)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jc w:val="both"/>
              <w:rPr/>
            </w:pPr>
            <w:r w:rsidDel="00000000" w:rsidR="00000000" w:rsidRPr="00000000">
              <w:rPr>
                <w:rtl w:val="0"/>
              </w:rPr>
              <w:t xml:space="preserve">Outil de l'élève</w:t>
            </w:r>
          </w:p>
          <w:p w:rsidR="00000000" w:rsidDel="00000000" w:rsidP="00000000" w:rsidRDefault="00000000" w:rsidRPr="00000000" w14:paraId="00000023">
            <w:pPr>
              <w:jc w:val="both"/>
              <w:rPr/>
            </w:pPr>
            <w:r w:rsidDel="00000000" w:rsidR="00000000" w:rsidRPr="00000000">
              <w:rPr>
                <w:rtl w:val="0"/>
              </w:rPr>
              <w:t xml:space="preserve">Tome 2</w:t>
            </w:r>
          </w:p>
          <w:p w:rsidR="00000000" w:rsidDel="00000000" w:rsidP="00000000" w:rsidRDefault="00000000" w:rsidRPr="00000000" w14:paraId="00000024">
            <w:pPr>
              <w:jc w:val="both"/>
              <w:rPr/>
            </w:pPr>
            <w:r w:rsidDel="00000000" w:rsidR="00000000" w:rsidRPr="00000000">
              <w:rPr>
                <w:rtl w:val="0"/>
              </w:rPr>
              <w:t xml:space="preserve">(L2)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jc w:val="both"/>
              <w:rPr/>
            </w:pPr>
            <w:r w:rsidDel="00000000" w:rsidR="00000000" w:rsidRPr="00000000">
              <w:rPr>
                <w:rtl w:val="0"/>
              </w:rPr>
              <w:t xml:space="preserve">Planches d'alphabet (L2)</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jc w:val="both"/>
              <w:rPr/>
            </w:pPr>
            <w:r w:rsidDel="00000000" w:rsidR="00000000" w:rsidRPr="00000000">
              <w:rPr>
                <w:rtl w:val="0"/>
              </w:rPr>
              <w:t xml:space="preserve">Joola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jc w:val="both"/>
              <w:rPr/>
            </w:pPr>
            <w:r w:rsidDel="00000000" w:rsidR="00000000" w:rsidRPr="00000000">
              <w:rPr>
                <w:rtl w:val="0"/>
              </w:rPr>
              <w:t xml:space="preserve">926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jc w:val="both"/>
              <w:rPr/>
            </w:pPr>
            <w:r w:rsidDel="00000000" w:rsidR="00000000" w:rsidRPr="00000000">
              <w:rPr>
                <w:rtl w:val="0"/>
              </w:rPr>
              <w:t xml:space="preserve">926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jc w:val="both"/>
              <w:rPr/>
            </w:pPr>
            <w:r w:rsidDel="00000000" w:rsidR="00000000" w:rsidRPr="00000000">
              <w:rPr>
                <w:rtl w:val="0"/>
              </w:rPr>
              <w:t xml:space="preserve">14949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jc w:val="both"/>
              <w:rPr/>
            </w:pPr>
            <w:r w:rsidDel="00000000" w:rsidR="00000000" w:rsidRPr="00000000">
              <w:rPr>
                <w:rtl w:val="0"/>
              </w:rPr>
              <w:t xml:space="preserve">14949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jc w:val="both"/>
              <w:rPr/>
            </w:pPr>
            <w:r w:rsidDel="00000000" w:rsidR="00000000" w:rsidRPr="00000000">
              <w:rPr>
                <w:rtl w:val="0"/>
              </w:rPr>
              <w:t xml:space="preserve">14949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jc w:val="both"/>
              <w:rPr/>
            </w:pPr>
            <w:r w:rsidDel="00000000" w:rsidR="00000000" w:rsidRPr="00000000">
              <w:rPr>
                <w:rtl w:val="0"/>
              </w:rPr>
              <w:t xml:space="preserve">14949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jc w:val="both"/>
              <w:rPr/>
            </w:pPr>
            <w:r w:rsidDel="00000000" w:rsidR="00000000" w:rsidRPr="00000000">
              <w:rPr>
                <w:rtl w:val="0"/>
              </w:rPr>
              <w:t xml:space="preserve">493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jc w:val="both"/>
              <w:rPr/>
            </w:pPr>
            <w:r w:rsidDel="00000000" w:rsidR="00000000" w:rsidRPr="00000000">
              <w:rPr>
                <w:rtl w:val="0"/>
              </w:rPr>
              <w:t xml:space="preserve">Mandingue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jc w:val="both"/>
              <w:rPr/>
            </w:pPr>
            <w:r w:rsidDel="00000000" w:rsidR="00000000" w:rsidRPr="00000000">
              <w:rPr>
                <w:rtl w:val="0"/>
              </w:rPr>
              <w:t xml:space="preserve">897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jc w:val="both"/>
              <w:rPr/>
            </w:pPr>
            <w:r w:rsidDel="00000000" w:rsidR="00000000" w:rsidRPr="00000000">
              <w:rPr>
                <w:rtl w:val="0"/>
              </w:rPr>
              <w:t xml:space="preserve">897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jc w:val="both"/>
              <w:rPr/>
            </w:pPr>
            <w:r w:rsidDel="00000000" w:rsidR="00000000" w:rsidRPr="00000000">
              <w:rPr>
                <w:rtl w:val="0"/>
              </w:rPr>
              <w:t xml:space="preserve">22246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jc w:val="both"/>
              <w:rPr/>
            </w:pPr>
            <w:r w:rsidDel="00000000" w:rsidR="00000000" w:rsidRPr="00000000">
              <w:rPr>
                <w:rtl w:val="0"/>
              </w:rPr>
              <w:t xml:space="preserve">22246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jc w:val="both"/>
              <w:rPr/>
            </w:pPr>
            <w:r w:rsidDel="00000000" w:rsidR="00000000" w:rsidRPr="00000000">
              <w:rPr>
                <w:rtl w:val="0"/>
              </w:rPr>
              <w:t xml:space="preserve">22246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jc w:val="both"/>
              <w:rPr/>
            </w:pPr>
            <w:r w:rsidDel="00000000" w:rsidR="00000000" w:rsidRPr="00000000">
              <w:rPr>
                <w:rtl w:val="0"/>
              </w:rPr>
              <w:t xml:space="preserve">22246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jc w:val="both"/>
              <w:rPr/>
            </w:pPr>
            <w:r w:rsidDel="00000000" w:rsidR="00000000" w:rsidRPr="00000000">
              <w:rPr>
                <w:rtl w:val="0"/>
              </w:rPr>
              <w:t xml:space="preserve">483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jc w:val="both"/>
              <w:rPr/>
            </w:pPr>
            <w:r w:rsidDel="00000000" w:rsidR="00000000" w:rsidRPr="00000000">
              <w:rPr>
                <w:rtl w:val="0"/>
              </w:rPr>
              <w:t xml:space="preserve">Pulaar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jc w:val="both"/>
              <w:rPr/>
            </w:pPr>
            <w:r w:rsidDel="00000000" w:rsidR="00000000" w:rsidRPr="00000000">
              <w:rPr>
                <w:rtl w:val="0"/>
              </w:rPr>
              <w:t xml:space="preserve">458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jc w:val="both"/>
              <w:rPr/>
            </w:pPr>
            <w:r w:rsidDel="00000000" w:rsidR="00000000" w:rsidRPr="00000000">
              <w:rPr>
                <w:rtl w:val="0"/>
              </w:rPr>
              <w:t xml:space="preserve">458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jc w:val="both"/>
              <w:rPr/>
            </w:pPr>
            <w:r w:rsidDel="00000000" w:rsidR="00000000" w:rsidRPr="00000000">
              <w:rPr>
                <w:rtl w:val="0"/>
              </w:rPr>
              <w:t xml:space="preserve">8679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jc w:val="both"/>
              <w:rPr/>
            </w:pPr>
            <w:r w:rsidDel="00000000" w:rsidR="00000000" w:rsidRPr="00000000">
              <w:rPr>
                <w:rtl w:val="0"/>
              </w:rPr>
              <w:t xml:space="preserve">8679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jc w:val="both"/>
              <w:rPr/>
            </w:pPr>
            <w:r w:rsidDel="00000000" w:rsidR="00000000" w:rsidRPr="00000000">
              <w:rPr>
                <w:rtl w:val="0"/>
              </w:rPr>
              <w:t xml:space="preserve">8679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jc w:val="both"/>
              <w:rPr/>
            </w:pPr>
            <w:r w:rsidDel="00000000" w:rsidR="00000000" w:rsidRPr="00000000">
              <w:rPr>
                <w:rtl w:val="0"/>
              </w:rPr>
              <w:t xml:space="preserve">8679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jc w:val="both"/>
              <w:rPr/>
            </w:pPr>
            <w:r w:rsidDel="00000000" w:rsidR="00000000" w:rsidRPr="00000000">
              <w:rPr>
                <w:rtl w:val="0"/>
              </w:rPr>
              <w:t xml:space="preserve">216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jc w:val="both"/>
              <w:rPr/>
            </w:pPr>
            <w:r w:rsidDel="00000000" w:rsidR="00000000" w:rsidRPr="00000000">
              <w:rPr>
                <w:rtl w:val="0"/>
              </w:rPr>
              <w:t xml:space="preserve">Seerer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jc w:val="both"/>
              <w:rPr/>
            </w:pPr>
            <w:r w:rsidDel="00000000" w:rsidR="00000000" w:rsidRPr="00000000">
              <w:rPr>
                <w:rtl w:val="0"/>
              </w:rPr>
              <w:t xml:space="preserve">445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jc w:val="both"/>
              <w:rPr/>
            </w:pPr>
            <w:r w:rsidDel="00000000" w:rsidR="00000000" w:rsidRPr="00000000">
              <w:rPr>
                <w:rtl w:val="0"/>
              </w:rPr>
              <w:t xml:space="preserve">445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jc w:val="both"/>
              <w:rPr/>
            </w:pPr>
            <w:r w:rsidDel="00000000" w:rsidR="00000000" w:rsidRPr="00000000">
              <w:rPr>
                <w:rtl w:val="0"/>
              </w:rPr>
              <w:t xml:space="preserve">9478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jc w:val="both"/>
              <w:rPr/>
            </w:pPr>
            <w:r w:rsidDel="00000000" w:rsidR="00000000" w:rsidRPr="00000000">
              <w:rPr>
                <w:rtl w:val="0"/>
              </w:rPr>
              <w:t xml:space="preserve">9478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jc w:val="both"/>
              <w:rPr/>
            </w:pPr>
            <w:r w:rsidDel="00000000" w:rsidR="00000000" w:rsidRPr="00000000">
              <w:rPr>
                <w:rtl w:val="0"/>
              </w:rPr>
              <w:t xml:space="preserve">9478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jc w:val="both"/>
              <w:rPr/>
            </w:pPr>
            <w:r w:rsidDel="00000000" w:rsidR="00000000" w:rsidRPr="00000000">
              <w:rPr>
                <w:rtl w:val="0"/>
              </w:rPr>
              <w:t xml:space="preserve">9478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jc w:val="both"/>
              <w:rPr/>
            </w:pPr>
            <w:r w:rsidDel="00000000" w:rsidR="00000000" w:rsidRPr="00000000">
              <w:rPr>
                <w:rtl w:val="0"/>
              </w:rPr>
              <w:t xml:space="preserve">Wolof</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jc w:val="both"/>
              <w:rPr/>
            </w:pPr>
            <w:r w:rsidDel="00000000" w:rsidR="00000000" w:rsidRPr="00000000">
              <w:rPr>
                <w:rtl w:val="0"/>
              </w:rPr>
              <w:t xml:space="preserve">2149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jc w:val="both"/>
              <w:rPr/>
            </w:pPr>
            <w:r w:rsidDel="00000000" w:rsidR="00000000" w:rsidRPr="00000000">
              <w:rPr>
                <w:rtl w:val="0"/>
              </w:rPr>
              <w:t xml:space="preserve">2149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jc w:val="both"/>
              <w:rPr/>
            </w:pPr>
            <w:r w:rsidDel="00000000" w:rsidR="00000000" w:rsidRPr="00000000">
              <w:rPr>
                <w:rtl w:val="0"/>
              </w:rPr>
              <w:t xml:space="preserve">61739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jc w:val="both"/>
              <w:rPr/>
            </w:pPr>
            <w:r w:rsidDel="00000000" w:rsidR="00000000" w:rsidRPr="00000000">
              <w:rPr>
                <w:rtl w:val="0"/>
              </w:rPr>
              <w:t xml:space="preserve">61739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jc w:val="both"/>
              <w:rPr/>
            </w:pPr>
            <w:r w:rsidDel="00000000" w:rsidR="00000000" w:rsidRPr="00000000">
              <w:rPr>
                <w:rtl w:val="0"/>
              </w:rPr>
              <w:t xml:space="preserve">61739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jc w:val="both"/>
              <w:rPr/>
            </w:pPr>
            <w:r w:rsidDel="00000000" w:rsidR="00000000" w:rsidRPr="00000000">
              <w:rPr>
                <w:rtl w:val="0"/>
              </w:rPr>
              <w:t xml:space="preserve">61739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jc w:val="both"/>
              <w:rPr/>
            </w:pPr>
            <w:r w:rsidDel="00000000" w:rsidR="00000000" w:rsidRPr="00000000">
              <w:rPr>
                <w:rtl w:val="0"/>
              </w:rPr>
              <w:t xml:space="preserve">1185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jc w:val="both"/>
              <w:rPr/>
            </w:pPr>
            <w:r w:rsidDel="00000000" w:rsidR="00000000" w:rsidRPr="00000000">
              <w:rPr>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jc w:val="both"/>
              <w:rPr/>
            </w:pPr>
            <w:r w:rsidDel="00000000" w:rsidR="00000000" w:rsidRPr="00000000">
              <w:rPr>
                <w:rtl w:val="0"/>
              </w:rPr>
              <w:t xml:space="preserve">4 875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jc w:val="both"/>
              <w:rPr/>
            </w:pPr>
            <w:r w:rsidDel="00000000" w:rsidR="00000000" w:rsidRPr="00000000">
              <w:rPr>
                <w:rtl w:val="0"/>
              </w:rPr>
              <w:t xml:space="preserve">4 875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jc w:val="both"/>
              <w:rPr/>
            </w:pPr>
            <w:r w:rsidDel="00000000" w:rsidR="00000000" w:rsidRPr="00000000">
              <w:rPr>
                <w:rtl w:val="0"/>
              </w:rPr>
              <w:t xml:space="preserve">117 091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jc w:val="both"/>
              <w:rPr/>
            </w:pPr>
            <w:r w:rsidDel="00000000" w:rsidR="00000000" w:rsidRPr="00000000">
              <w:rPr>
                <w:rtl w:val="0"/>
              </w:rPr>
              <w:t xml:space="preserve">117 091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jc w:val="both"/>
              <w:rPr/>
            </w:pPr>
            <w:r w:rsidDel="00000000" w:rsidR="00000000" w:rsidRPr="00000000">
              <w:rPr>
                <w:rtl w:val="0"/>
              </w:rPr>
              <w:t xml:space="preserve">117 091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jc w:val="both"/>
              <w:rPr/>
            </w:pPr>
            <w:r w:rsidDel="00000000" w:rsidR="00000000" w:rsidRPr="00000000">
              <w:rPr>
                <w:rtl w:val="0"/>
              </w:rPr>
              <w:t xml:space="preserve">117 091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jc w:val="both"/>
              <w:rPr/>
            </w:pPr>
            <w:r w:rsidDel="00000000" w:rsidR="00000000" w:rsidRPr="00000000">
              <w:rPr>
                <w:rtl w:val="0"/>
              </w:rPr>
              <w:t xml:space="preserve">2 579</w:t>
            </w:r>
          </w:p>
        </w:tc>
      </w:tr>
    </w:tbl>
    <w:p w:rsidR="00000000" w:rsidDel="00000000" w:rsidP="00000000" w:rsidRDefault="00000000" w:rsidRPr="00000000" w14:paraId="00000057">
      <w:pPr>
        <w:spacing w:before="200" w:lineRule="auto"/>
        <w:jc w:val="both"/>
        <w:rPr/>
      </w:pPr>
      <w:r w:rsidDel="00000000" w:rsidR="00000000" w:rsidRPr="00000000">
        <w:rPr>
          <w:rtl w:val="0"/>
        </w:rPr>
        <w:t xml:space="preserve"> A cet effet, les exigences en matière de qualification sont :</w:t>
      </w:r>
    </w:p>
    <w:p w:rsidR="00000000" w:rsidDel="00000000" w:rsidP="00000000" w:rsidRDefault="00000000" w:rsidRPr="00000000" w14:paraId="00000058">
      <w:pPr>
        <w:numPr>
          <w:ilvl w:val="0"/>
          <w:numId w:val="1"/>
        </w:numPr>
        <w:spacing w:after="0" w:afterAutospacing="0" w:before="200" w:lineRule="auto"/>
        <w:ind w:left="720" w:hanging="360"/>
        <w:jc w:val="both"/>
        <w:rPr>
          <w:u w:val="none"/>
        </w:rPr>
      </w:pPr>
      <w:r w:rsidDel="00000000" w:rsidR="00000000" w:rsidRPr="00000000">
        <w:rPr>
          <w:b w:val="1"/>
          <w:rtl w:val="0"/>
        </w:rPr>
        <w:t xml:space="preserve">Expérience</w:t>
      </w:r>
      <w:r w:rsidDel="00000000" w:rsidR="00000000" w:rsidRPr="00000000">
        <w:rPr>
          <w:rtl w:val="0"/>
        </w:rPr>
        <w:t xml:space="preserve">; avoir réalisé au moins deux (02) marchés similaires d'un montant égal au moins à 220 000 000F CFA durant les cinq (05) dernières années (2024, 2023, 2022, 2021 et 2020). Le soumissionnaire doit joindre les attestations de bonne exécution avec les copies des contrats de marchés et les procès-verbaux de réception signés par les administrations ou services bénéficiaires.</w:t>
      </w:r>
    </w:p>
    <w:p w:rsidR="00000000" w:rsidDel="00000000" w:rsidP="00000000" w:rsidRDefault="00000000" w:rsidRPr="00000000" w14:paraId="00000059">
      <w:pPr>
        <w:numPr>
          <w:ilvl w:val="0"/>
          <w:numId w:val="1"/>
        </w:numPr>
        <w:spacing w:before="0" w:beforeAutospacing="0" w:lineRule="auto"/>
        <w:ind w:left="720" w:hanging="360"/>
        <w:jc w:val="both"/>
        <w:rPr>
          <w:u w:val="none"/>
        </w:rPr>
      </w:pPr>
      <w:r w:rsidDel="00000000" w:rsidR="00000000" w:rsidRPr="00000000">
        <w:rPr>
          <w:b w:val="1"/>
          <w:rtl w:val="0"/>
        </w:rPr>
        <w:t xml:space="preserve">Capacité financière </w:t>
      </w:r>
      <w:r w:rsidDel="00000000" w:rsidR="00000000" w:rsidRPr="00000000">
        <w:rPr>
          <w:rtl w:val="0"/>
        </w:rPr>
        <w:t xml:space="preserve">:</w:t>
      </w:r>
    </w:p>
    <w:p w:rsidR="00000000" w:rsidDel="00000000" w:rsidP="00000000" w:rsidRDefault="00000000" w:rsidRPr="00000000" w14:paraId="0000005A">
      <w:pPr>
        <w:spacing w:before="200" w:lineRule="auto"/>
        <w:jc w:val="both"/>
        <w:rPr>
          <w:b w:val="1"/>
        </w:rPr>
      </w:pPr>
      <w:r w:rsidDel="00000000" w:rsidR="00000000" w:rsidRPr="00000000">
        <w:rPr>
          <w:rtl w:val="0"/>
        </w:rPr>
        <w:t xml:space="preserve">• </w:t>
      </w:r>
      <w:r w:rsidDel="00000000" w:rsidR="00000000" w:rsidRPr="00000000">
        <w:rPr>
          <w:b w:val="1"/>
          <w:rtl w:val="0"/>
        </w:rPr>
        <w:t xml:space="preserve">Etats financiers:</w:t>
      </w:r>
    </w:p>
    <w:p w:rsidR="00000000" w:rsidDel="00000000" w:rsidP="00000000" w:rsidRDefault="00000000" w:rsidRPr="00000000" w14:paraId="0000005B">
      <w:pPr>
        <w:spacing w:before="200" w:lineRule="auto"/>
        <w:jc w:val="both"/>
        <w:rPr/>
      </w:pPr>
      <w:r w:rsidDel="00000000" w:rsidR="00000000" w:rsidRPr="00000000">
        <w:rPr>
          <w:rtl w:val="0"/>
        </w:rPr>
        <w:t xml:space="preserve">Le soumissionnaire doit fournir des états financiers certifiés ou, si la loi du pays du Soumissionnaire ne l'exige pas, d'autres états financiers acceptables pour l'Acheteur, pour les trois (3) dernières années (2021, 2022 et 2023) démontrant la solidité actuelle de la situation financière du Soumissionnaire.</w:t>
      </w:r>
    </w:p>
    <w:p w:rsidR="00000000" w:rsidDel="00000000" w:rsidP="00000000" w:rsidRDefault="00000000" w:rsidRPr="00000000" w14:paraId="0000005C">
      <w:pPr>
        <w:spacing w:before="200" w:lineRule="auto"/>
        <w:jc w:val="both"/>
        <w:rPr>
          <w:b w:val="1"/>
        </w:rPr>
      </w:pPr>
      <w:r w:rsidDel="00000000" w:rsidR="00000000" w:rsidRPr="00000000">
        <w:rPr>
          <w:rtl w:val="0"/>
        </w:rPr>
        <w:t xml:space="preserve">•</w:t>
      </w:r>
      <w:r w:rsidDel="00000000" w:rsidR="00000000" w:rsidRPr="00000000">
        <w:rPr>
          <w:b w:val="1"/>
          <w:rtl w:val="0"/>
        </w:rPr>
        <w:t xml:space="preserve"> Attestation de ligne de crédits:</w:t>
      </w:r>
    </w:p>
    <w:p w:rsidR="00000000" w:rsidDel="00000000" w:rsidP="00000000" w:rsidRDefault="00000000" w:rsidRPr="00000000" w14:paraId="0000005D">
      <w:pPr>
        <w:spacing w:before="200" w:lineRule="auto"/>
        <w:jc w:val="both"/>
        <w:rPr/>
      </w:pPr>
      <w:r w:rsidDel="00000000" w:rsidR="00000000" w:rsidRPr="00000000">
        <w:rPr>
          <w:rtl w:val="0"/>
        </w:rPr>
        <w:t xml:space="preserve">Le soumissionnaire doit soumettre une lettre délivrée par une banque attestant que le soumissionnaire dispose de fonds propres, de liquidités ou bénéficiera d'un crédit, dont le montant sera au moins égal à 100 000 000 Francs CFA (XOF) ou son équivalent dans une devise convertible.</w:t>
      </w:r>
    </w:p>
    <w:p w:rsidR="00000000" w:rsidDel="00000000" w:rsidP="00000000" w:rsidRDefault="00000000" w:rsidRPr="00000000" w14:paraId="0000005E">
      <w:pPr>
        <w:spacing w:before="200" w:lineRule="auto"/>
        <w:jc w:val="both"/>
        <w:rPr>
          <w:b w:val="1"/>
        </w:rPr>
      </w:pPr>
      <w:r w:rsidDel="00000000" w:rsidR="00000000" w:rsidRPr="00000000">
        <w:rPr>
          <w:b w:val="1"/>
          <w:rtl w:val="0"/>
        </w:rPr>
        <w:t xml:space="preserve">• Capacité annuelle:</w:t>
      </w:r>
    </w:p>
    <w:p w:rsidR="00000000" w:rsidDel="00000000" w:rsidP="00000000" w:rsidRDefault="00000000" w:rsidRPr="00000000" w14:paraId="0000005F">
      <w:pPr>
        <w:spacing w:before="200" w:lineRule="auto"/>
        <w:jc w:val="both"/>
        <w:rPr/>
      </w:pPr>
      <w:r w:rsidDel="00000000" w:rsidR="00000000" w:rsidRPr="00000000">
        <w:rPr>
          <w:rtl w:val="0"/>
        </w:rPr>
        <w:t xml:space="preserve">La capacité annuelle moyenne de fournir les fournitures requises devrait être </w:t>
      </w:r>
      <w:r w:rsidDel="00000000" w:rsidR="00000000" w:rsidRPr="00000000">
        <w:rPr>
          <w:b w:val="1"/>
          <w:rtl w:val="0"/>
        </w:rPr>
        <w:t xml:space="preserve">au moins 12 fois supérieure au volume du contrat </w:t>
      </w:r>
      <w:r w:rsidDel="00000000" w:rsidR="00000000" w:rsidRPr="00000000">
        <w:rPr>
          <w:rtl w:val="0"/>
        </w:rPr>
        <w:t xml:space="preserve">au cours des trois (03) dernières années (2022, 2023 et 2024). Cette capacité annuelle sera évaluée par l'Acheteur au moyen de la liste des équipements fournis par le soumissionnaire.</w:t>
      </w:r>
    </w:p>
    <w:p w:rsidR="00000000" w:rsidDel="00000000" w:rsidP="00000000" w:rsidRDefault="00000000" w:rsidRPr="00000000" w14:paraId="00000060">
      <w:pPr>
        <w:spacing w:before="200" w:lineRule="auto"/>
        <w:jc w:val="both"/>
        <w:rPr/>
      </w:pPr>
      <w:r w:rsidDel="00000000" w:rsidR="00000000" w:rsidRPr="00000000">
        <w:rPr>
          <w:rtl w:val="0"/>
        </w:rPr>
        <w:t xml:space="preserve">3. La passation du Marché sera conduite par Mise en Concurrence tel que défini dans le « </w:t>
      </w:r>
      <w:r w:rsidDel="00000000" w:rsidR="00000000" w:rsidRPr="00000000">
        <w:rPr>
          <w:b w:val="1"/>
          <w:rtl w:val="0"/>
        </w:rPr>
        <w:t xml:space="preserve">Règlement de Passation des Marchés pour les Emprunteurs sollicitant le Financement de Projets d'Investissement »</w:t>
      </w:r>
      <w:r w:rsidDel="00000000" w:rsidR="00000000" w:rsidRPr="00000000">
        <w:rPr>
          <w:rtl w:val="0"/>
        </w:rPr>
        <w:t xml:space="preserve"> de la Banque mondiale </w:t>
      </w:r>
      <w:r w:rsidDel="00000000" w:rsidR="00000000" w:rsidRPr="00000000">
        <w:rPr>
          <w:b w:val="1"/>
          <w:rtl w:val="0"/>
        </w:rPr>
        <w:t xml:space="preserve">daté du 1er Juillet 2016 révisé en février 2025</w:t>
      </w:r>
      <w:r w:rsidDel="00000000" w:rsidR="00000000" w:rsidRPr="00000000">
        <w:rPr>
          <w:rtl w:val="0"/>
        </w:rPr>
        <w:t xml:space="preserve"> et ouvert à tous les Soumissionnaires de pays éligibles tels que définis dans ledit Règlement.</w:t>
      </w:r>
    </w:p>
    <w:p w:rsidR="00000000" w:rsidDel="00000000" w:rsidP="00000000" w:rsidRDefault="00000000" w:rsidRPr="00000000" w14:paraId="00000061">
      <w:pPr>
        <w:spacing w:before="200" w:lineRule="auto"/>
        <w:jc w:val="both"/>
        <w:rPr/>
      </w:pPr>
      <w:r w:rsidDel="00000000" w:rsidR="00000000" w:rsidRPr="00000000">
        <w:rPr>
          <w:rtl w:val="0"/>
        </w:rPr>
        <w:t xml:space="preserve">4. Les soumissionnaires éligibles et intéressés peuvent obtenir des informations auprès du bureau de PAPSE au 2ème étage de l'immeuble CAC à Yoff, Cité Biagui, route de l'aéroport Léopold Sédar Senghor, Sénégal ou par courriel envoyé à l'adresse électronique : bm.papse@education.sn et prendre connaissance du dossier d'Appel d'offres durant les heures de bureau de gho à 16h00 GMT à l'adresse indiquée ci-dessous.</w:t>
      </w:r>
    </w:p>
    <w:p w:rsidR="00000000" w:rsidDel="00000000" w:rsidP="00000000" w:rsidRDefault="00000000" w:rsidRPr="00000000" w14:paraId="00000062">
      <w:pPr>
        <w:spacing w:before="200" w:lineRule="auto"/>
        <w:jc w:val="both"/>
        <w:rPr/>
      </w:pPr>
      <w:r w:rsidDel="00000000" w:rsidR="00000000" w:rsidRPr="00000000">
        <w:rPr>
          <w:rtl w:val="0"/>
        </w:rPr>
        <w:t xml:space="preserve">5. Les soumissionnaires intéressés peuvent obtenir un Dossier d'Appel d'Offres complet en français en formulant une demande écrite à l'adresse mentionnée ci-dessus ou à l'adresse électronique suivante: bm.papse@education.sn</w:t>
      </w:r>
    </w:p>
    <w:p w:rsidR="00000000" w:rsidDel="00000000" w:rsidP="00000000" w:rsidRDefault="00000000" w:rsidRPr="00000000" w14:paraId="00000063">
      <w:pPr>
        <w:spacing w:before="200" w:lineRule="auto"/>
        <w:jc w:val="both"/>
        <w:rPr>
          <w:b w:val="1"/>
        </w:rPr>
      </w:pPr>
      <w:r w:rsidDel="00000000" w:rsidR="00000000" w:rsidRPr="00000000">
        <w:rPr>
          <w:rtl w:val="0"/>
        </w:rPr>
        <w:t xml:space="preserve">Le dossier d'appel d'offres peut être consulté gratuitement sur place. Les Offres devront être soumises au </w:t>
      </w:r>
      <w:r w:rsidDel="00000000" w:rsidR="00000000" w:rsidRPr="00000000">
        <w:rPr>
          <w:b w:val="1"/>
          <w:rtl w:val="0"/>
        </w:rPr>
        <w:t xml:space="preserve">bureau des marchés du PAPSE au 2ème étage de l'immeuble CAC à Yoff, Cité Biagui, route de l'aéroport Léopold Sédar Senghor au plus tard le lundi 14 juillet 2025 à 10 heures GMT.</w:t>
      </w:r>
    </w:p>
    <w:p w:rsidR="00000000" w:rsidDel="00000000" w:rsidP="00000000" w:rsidRDefault="00000000" w:rsidRPr="00000000" w14:paraId="00000064">
      <w:pPr>
        <w:spacing w:before="200" w:lineRule="auto"/>
        <w:jc w:val="both"/>
        <w:rPr>
          <w:b w:val="1"/>
        </w:rPr>
      </w:pPr>
      <w:r w:rsidDel="00000000" w:rsidR="00000000" w:rsidRPr="00000000">
        <w:rPr>
          <w:rtl w:val="0"/>
        </w:rPr>
        <w:t xml:space="preserve">Les offres remises en retard ne seront pas acceptées. Les offres seront ouvertes publiquement en présence des représentants des Soumissionnaires présents en personne et de toute personne qui a choisi d'y assister, à l'adresse suivante: </w:t>
      </w:r>
      <w:r w:rsidDel="00000000" w:rsidR="00000000" w:rsidRPr="00000000">
        <w:rPr>
          <w:b w:val="1"/>
          <w:rtl w:val="0"/>
        </w:rPr>
        <w:t xml:space="preserve">Salle de réunion du PAPSE au 2ème étage de l'immeuble CAC à Yoff, Cité Biagui, route de l'aéroport Léopold Sédar Senghor au plus tard le lundi 14 juillet 2025 à 10 heures GMT.</w:t>
      </w:r>
    </w:p>
    <w:p w:rsidR="00000000" w:rsidDel="00000000" w:rsidP="00000000" w:rsidRDefault="00000000" w:rsidRPr="00000000" w14:paraId="00000065">
      <w:pPr>
        <w:spacing w:before="200" w:lineRule="auto"/>
        <w:jc w:val="both"/>
        <w:rPr>
          <w:b w:val="1"/>
        </w:rPr>
      </w:pPr>
      <w:r w:rsidDel="00000000" w:rsidR="00000000" w:rsidRPr="00000000">
        <w:rPr>
          <w:rtl w:val="0"/>
        </w:rPr>
        <w:t xml:space="preserve">Toutes les offres doivent être accompagnées </w:t>
      </w:r>
      <w:r w:rsidDel="00000000" w:rsidR="00000000" w:rsidRPr="00000000">
        <w:rPr>
          <w:b w:val="1"/>
          <w:rtl w:val="0"/>
        </w:rPr>
        <w:t xml:space="preserve">d'une garantie </w:t>
      </w:r>
      <w:r w:rsidDel="00000000" w:rsidR="00000000" w:rsidRPr="00000000">
        <w:rPr>
          <w:rtl w:val="0"/>
        </w:rPr>
        <w:t xml:space="preserve">d'offre sous forme </w:t>
      </w:r>
      <w:r w:rsidDel="00000000" w:rsidR="00000000" w:rsidRPr="00000000">
        <w:rPr>
          <w:b w:val="1"/>
          <w:rtl w:val="0"/>
        </w:rPr>
        <w:t xml:space="preserve">de garantie ou caution bancaire,</w:t>
      </w:r>
      <w:r w:rsidDel="00000000" w:rsidR="00000000" w:rsidRPr="00000000">
        <w:rPr>
          <w:rtl w:val="0"/>
        </w:rPr>
        <w:t xml:space="preserve"> d'un montant égal à </w:t>
      </w:r>
      <w:r w:rsidDel="00000000" w:rsidR="00000000" w:rsidRPr="00000000">
        <w:rPr>
          <w:b w:val="1"/>
          <w:rtl w:val="0"/>
        </w:rPr>
        <w:t xml:space="preserve">cinq millions (5 000 000) francs CFA.</w:t>
      </w:r>
    </w:p>
    <w:p w:rsidR="00000000" w:rsidDel="00000000" w:rsidP="00000000" w:rsidRDefault="00000000" w:rsidRPr="00000000" w14:paraId="00000066">
      <w:pPr>
        <w:spacing w:before="200" w:lineRule="auto"/>
        <w:jc w:val="both"/>
        <w:rPr/>
      </w:pPr>
      <w:r w:rsidDel="00000000" w:rsidR="00000000" w:rsidRPr="00000000">
        <w:rPr>
          <w:rtl w:val="0"/>
        </w:rPr>
        <w:t xml:space="preserve">La garantie doit être émise par une banque internationale réputée, ou par une institution non bancaire telle qu'une société d'assurance, de cautionnement ou de garantie située dans un pays éligible. La garantie de soumission restera valide </w:t>
      </w:r>
      <w:r w:rsidDel="00000000" w:rsidR="00000000" w:rsidRPr="00000000">
        <w:rPr>
          <w:b w:val="1"/>
          <w:rtl w:val="0"/>
        </w:rPr>
        <w:t xml:space="preserve">vingt-huit (28) jours</w:t>
      </w:r>
      <w:r w:rsidDel="00000000" w:rsidR="00000000" w:rsidRPr="00000000">
        <w:rPr>
          <w:rtl w:val="0"/>
        </w:rPr>
        <w:t xml:space="preserve"> après la durée de validité des offres.</w:t>
      </w:r>
    </w:p>
    <w:p w:rsidR="00000000" w:rsidDel="00000000" w:rsidP="00000000" w:rsidRDefault="00000000" w:rsidRPr="00000000" w14:paraId="00000067">
      <w:pPr>
        <w:spacing w:before="200" w:lineRule="auto"/>
        <w:jc w:val="both"/>
        <w:rPr/>
      </w:pPr>
      <w:r w:rsidDel="00000000" w:rsidR="00000000" w:rsidRPr="00000000">
        <w:rPr>
          <w:rtl w:val="0"/>
        </w:rPr>
        <w:t xml:space="preserve">6. L'attention est attirée sur le Règlement de Passation de Marchés qui exige que l'Emprunteur divulgue les informations sur la propriété effective du Soumissionnaire re-tenu, avec la Notification de l'Attribution du Marché, en utilisant le Formulaire de Divulgation des Bénéficiaires Effectifs tel qu'inclus dans le document d'appel d'offres.</w:t>
      </w:r>
    </w:p>
    <w:p w:rsidR="00000000" w:rsidDel="00000000" w:rsidP="00000000" w:rsidRDefault="00000000" w:rsidRPr="00000000" w14:paraId="00000068">
      <w:pPr>
        <w:spacing w:before="200" w:lineRule="auto"/>
        <w:jc w:val="both"/>
        <w:rPr/>
      </w:pPr>
      <w:r w:rsidDel="00000000" w:rsidR="00000000" w:rsidRPr="00000000">
        <w:rPr>
          <w:rtl w:val="0"/>
        </w:rPr>
        <w:t xml:space="preserve">7. L'adresse auquel il est fait référence ci-dessus est :</w:t>
      </w:r>
    </w:p>
    <w:p w:rsidR="00000000" w:rsidDel="00000000" w:rsidP="00000000" w:rsidRDefault="00000000" w:rsidRPr="00000000" w14:paraId="00000069">
      <w:pPr>
        <w:spacing w:before="0" w:lineRule="auto"/>
        <w:jc w:val="both"/>
        <w:rPr>
          <w:b w:val="1"/>
        </w:rPr>
      </w:pPr>
      <w:r w:rsidDel="00000000" w:rsidR="00000000" w:rsidRPr="00000000">
        <w:rPr>
          <w:rtl w:val="0"/>
        </w:rPr>
        <w:t xml:space="preserve">- Attention: </w:t>
      </w:r>
      <w:r w:rsidDel="00000000" w:rsidR="00000000" w:rsidRPr="00000000">
        <w:rPr>
          <w:b w:val="1"/>
          <w:rtl w:val="0"/>
        </w:rPr>
        <w:t xml:space="preserve">Monsieur le Coordonnateur du Projet d'Amélioration des Performances du Système Éducatif (PAPSE).</w:t>
      </w:r>
    </w:p>
    <w:p w:rsidR="00000000" w:rsidDel="00000000" w:rsidP="00000000" w:rsidRDefault="00000000" w:rsidRPr="00000000" w14:paraId="0000006A">
      <w:pPr>
        <w:spacing w:before="0" w:lineRule="auto"/>
        <w:jc w:val="both"/>
        <w:rPr>
          <w:b w:val="1"/>
        </w:rPr>
      </w:pPr>
      <w:r w:rsidDel="00000000" w:rsidR="00000000" w:rsidRPr="00000000">
        <w:rPr>
          <w:rtl w:val="0"/>
        </w:rPr>
        <w:t xml:space="preserve">- Adresse : </w:t>
      </w:r>
      <w:r w:rsidDel="00000000" w:rsidR="00000000" w:rsidRPr="00000000">
        <w:rPr>
          <w:b w:val="1"/>
          <w:rtl w:val="0"/>
        </w:rPr>
        <w:t xml:space="preserve">Yoff, Cité Biagui, route de l'aéroport Léopold Sédar Senghor au zème-étage de l'immeuble CAC - appartement 201</w:t>
      </w:r>
    </w:p>
    <w:p w:rsidR="00000000" w:rsidDel="00000000" w:rsidP="00000000" w:rsidRDefault="00000000" w:rsidRPr="00000000" w14:paraId="0000006B">
      <w:pPr>
        <w:spacing w:before="0" w:lineRule="auto"/>
        <w:jc w:val="both"/>
        <w:rPr>
          <w:b w:val="1"/>
        </w:rPr>
      </w:pPr>
      <w:r w:rsidDel="00000000" w:rsidR="00000000" w:rsidRPr="00000000">
        <w:rPr>
          <w:rtl w:val="0"/>
        </w:rPr>
        <w:t xml:space="preserve">- Numéro de bureau: </w:t>
      </w:r>
      <w:r w:rsidDel="00000000" w:rsidR="00000000" w:rsidRPr="00000000">
        <w:rPr>
          <w:b w:val="1"/>
          <w:rtl w:val="0"/>
        </w:rPr>
        <w:t xml:space="preserve">bureau des marchés du PAPSE</w:t>
      </w:r>
    </w:p>
    <w:p w:rsidR="00000000" w:rsidDel="00000000" w:rsidP="00000000" w:rsidRDefault="00000000" w:rsidRPr="00000000" w14:paraId="0000006C">
      <w:pPr>
        <w:spacing w:before="0" w:lineRule="auto"/>
        <w:jc w:val="both"/>
        <w:rPr>
          <w:b w:val="1"/>
        </w:rPr>
      </w:pPr>
      <w:r w:rsidDel="00000000" w:rsidR="00000000" w:rsidRPr="00000000">
        <w:rPr>
          <w:rtl w:val="0"/>
        </w:rPr>
        <w:t xml:space="preserve">- Ville : </w:t>
      </w:r>
      <w:r w:rsidDel="00000000" w:rsidR="00000000" w:rsidRPr="00000000">
        <w:rPr>
          <w:b w:val="1"/>
          <w:rtl w:val="0"/>
        </w:rPr>
        <w:t xml:space="preserve">Dakar</w:t>
      </w:r>
    </w:p>
    <w:p w:rsidR="00000000" w:rsidDel="00000000" w:rsidP="00000000" w:rsidRDefault="00000000" w:rsidRPr="00000000" w14:paraId="0000006D">
      <w:pPr>
        <w:spacing w:before="0" w:lineRule="auto"/>
        <w:jc w:val="both"/>
        <w:rPr>
          <w:b w:val="1"/>
        </w:rPr>
      </w:pPr>
      <w:r w:rsidDel="00000000" w:rsidR="00000000" w:rsidRPr="00000000">
        <w:rPr>
          <w:rtl w:val="0"/>
        </w:rPr>
        <w:t xml:space="preserve">- Pays : </w:t>
      </w:r>
      <w:r w:rsidDel="00000000" w:rsidR="00000000" w:rsidRPr="00000000">
        <w:rPr>
          <w:b w:val="1"/>
          <w:rtl w:val="0"/>
        </w:rPr>
        <w:t xml:space="preserve">Sénégal</w:t>
      </w:r>
    </w:p>
    <w:p w:rsidR="00000000" w:rsidDel="00000000" w:rsidP="00000000" w:rsidRDefault="00000000" w:rsidRPr="00000000" w14:paraId="0000006E">
      <w:pPr>
        <w:spacing w:before="0" w:lineRule="auto"/>
        <w:jc w:val="both"/>
        <w:rPr>
          <w:b w:val="1"/>
        </w:rPr>
      </w:pPr>
      <w:r w:rsidDel="00000000" w:rsidR="00000000" w:rsidRPr="00000000">
        <w:rPr>
          <w:rtl w:val="0"/>
        </w:rPr>
        <w:t xml:space="preserve">- Email : </w:t>
      </w:r>
      <w:r w:rsidDel="00000000" w:rsidR="00000000" w:rsidRPr="00000000">
        <w:rPr>
          <w:b w:val="1"/>
          <w:rtl w:val="0"/>
        </w:rPr>
        <w:t xml:space="preserve">bm.papse@education.sn</w:t>
      </w:r>
    </w:p>
    <w:p w:rsidR="00000000" w:rsidDel="00000000" w:rsidP="00000000" w:rsidRDefault="00000000" w:rsidRPr="00000000" w14:paraId="0000006F">
      <w:pPr>
        <w:spacing w:before="200" w:lineRule="auto"/>
        <w:jc w:val="right"/>
        <w:rPr>
          <w:b w:val="1"/>
        </w:rPr>
      </w:pPr>
      <w:r w:rsidDel="00000000" w:rsidR="00000000" w:rsidRPr="00000000">
        <w:rPr>
          <w:b w:val="1"/>
          <w:rtl w:val="0"/>
        </w:rPr>
        <w:t xml:space="preserve">Le Coordonnateur du Projet d'Amélioration des Performances du Système Educatif (PAPSE)</w:t>
      </w:r>
    </w:p>
    <w:p w:rsidR="00000000" w:rsidDel="00000000" w:rsidP="00000000" w:rsidRDefault="00000000" w:rsidRPr="00000000" w14:paraId="00000070">
      <w:pPr>
        <w:spacing w:before="20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